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5FC" w:rsidRPr="001C332D" w:rsidRDefault="006F55FC" w:rsidP="006F55F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rPr>
        <w:t>3GPP TSG SA WG5 Meeting #143e</w:t>
      </w:r>
      <w:r w:rsidRPr="001C332D">
        <w:rPr>
          <w:rFonts w:ascii="Arial" w:eastAsia="MS Mincho" w:hAnsi="Arial" w:cs="Arial"/>
          <w:b/>
          <w:sz w:val="24"/>
          <w:szCs w:val="24"/>
          <w:lang w:eastAsia="ja-JP"/>
        </w:rPr>
        <w:tab/>
        <w:t>S</w:t>
      </w:r>
      <w:r>
        <w:rPr>
          <w:rFonts w:ascii="Arial" w:eastAsia="MS Mincho" w:hAnsi="Arial" w:cs="Arial"/>
          <w:b/>
          <w:sz w:val="24"/>
          <w:szCs w:val="24"/>
          <w:lang w:eastAsia="ja-JP"/>
        </w:rPr>
        <w:t>5</w:t>
      </w:r>
      <w:r w:rsidRPr="001C332D">
        <w:rPr>
          <w:rFonts w:ascii="Arial" w:eastAsia="MS Mincho" w:hAnsi="Arial" w:cs="Arial"/>
          <w:b/>
          <w:sz w:val="24"/>
          <w:szCs w:val="24"/>
          <w:lang w:eastAsia="ja-JP"/>
        </w:rPr>
        <w:t>-</w:t>
      </w:r>
      <w:r>
        <w:rPr>
          <w:rFonts w:ascii="Arial" w:eastAsia="MS Mincho" w:hAnsi="Arial" w:cs="Arial"/>
          <w:b/>
          <w:sz w:val="24"/>
          <w:szCs w:val="24"/>
          <w:lang w:eastAsia="ja-JP"/>
        </w:rPr>
        <w:t>223391</w:t>
      </w:r>
    </w:p>
    <w:p w:rsidR="006F55FC" w:rsidRPr="000D6532" w:rsidRDefault="006F55FC" w:rsidP="006F55FC">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w:t>
      </w:r>
      <w:r>
        <w:rPr>
          <w:rFonts w:ascii="Arial" w:eastAsia="MS Mincho" w:hAnsi="Arial" w:cs="Arial"/>
          <w:i/>
          <w:sz w:val="24"/>
          <w:szCs w:val="24"/>
          <w:lang w:eastAsia="ja-JP"/>
        </w:rPr>
        <w:t>5</w:t>
      </w:r>
      <w:r w:rsidRPr="001C332D">
        <w:rPr>
          <w:rFonts w:ascii="Arial" w:eastAsia="MS Mincho" w:hAnsi="Arial" w:cs="Arial"/>
          <w:i/>
          <w:sz w:val="24"/>
          <w:szCs w:val="24"/>
          <w:lang w:eastAsia="ja-JP"/>
        </w:rPr>
        <w:t>-</w:t>
      </w:r>
      <w:r>
        <w:rPr>
          <w:rFonts w:ascii="Arial" w:eastAsia="MS Mincho" w:hAnsi="Arial" w:cs="Arial"/>
          <w:i/>
          <w:sz w:val="24"/>
          <w:szCs w:val="24"/>
          <w:lang w:eastAsia="ja-JP"/>
        </w:rPr>
        <w:t>223</w:t>
      </w:r>
      <w:r w:rsidRPr="001C332D">
        <w:rPr>
          <w:rFonts w:ascii="Arial" w:eastAsia="MS Mincho" w:hAnsi="Arial" w:cs="Arial"/>
          <w:i/>
          <w:sz w:val="24"/>
          <w:szCs w:val="24"/>
          <w:lang w:eastAsia="ja-JP"/>
        </w:rPr>
        <w:t>xxx)</w:t>
      </w:r>
    </w:p>
    <w:p w:rsidR="006F55FC" w:rsidRPr="000D6532" w:rsidRDefault="006F55FC" w:rsidP="006F55FC">
      <w:pPr>
        <w:spacing w:after="0"/>
        <w:rPr>
          <w:rFonts w:ascii="Arial" w:eastAsia="MS Mincho" w:hAnsi="Arial"/>
          <w:sz w:val="24"/>
          <w:szCs w:val="24"/>
          <w:lang w:eastAsia="ja-JP"/>
        </w:rPr>
      </w:pPr>
    </w:p>
    <w:p w:rsidR="006F55FC" w:rsidRDefault="006F55FC" w:rsidP="006F55F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Samsung </w:t>
      </w:r>
    </w:p>
    <w:p w:rsidR="006F55FC" w:rsidRDefault="006F55FC" w:rsidP="006F55FC">
      <w:pPr>
        <w:spacing w:after="120"/>
        <w:ind w:left="1985" w:hanging="1985"/>
        <w:rPr>
          <w:rFonts w:ascii="Arial" w:hAnsi="Arial" w:cs="Arial"/>
          <w:b/>
          <w:bCs/>
        </w:rPr>
      </w:pPr>
      <w:r>
        <w:rPr>
          <w:rFonts w:ascii="Arial" w:hAnsi="Arial" w:cs="Arial"/>
          <w:b/>
          <w:bCs/>
        </w:rPr>
        <w:t>Title:</w:t>
      </w:r>
      <w:r>
        <w:rPr>
          <w:rFonts w:ascii="Arial" w:hAnsi="Arial" w:cs="Arial"/>
          <w:b/>
          <w:bCs/>
        </w:rPr>
        <w:tab/>
        <w:t>Application Enablement Standards in SA6</w:t>
      </w:r>
    </w:p>
    <w:p w:rsidR="006F55FC" w:rsidRDefault="006F55FC" w:rsidP="006F55FC">
      <w:pPr>
        <w:spacing w:after="120"/>
        <w:ind w:left="1985" w:hanging="1985"/>
        <w:rPr>
          <w:rFonts w:ascii="Arial" w:hAnsi="Arial" w:cs="Arial"/>
          <w:b/>
          <w:bCs/>
        </w:rPr>
      </w:pPr>
      <w:r>
        <w:rPr>
          <w:rFonts w:ascii="Arial" w:hAnsi="Arial" w:cs="Arial"/>
          <w:b/>
          <w:bCs/>
        </w:rPr>
        <w:t>Document Type:</w:t>
      </w:r>
      <w:r>
        <w:rPr>
          <w:rFonts w:ascii="Arial" w:hAnsi="Arial" w:cs="Arial"/>
          <w:b/>
          <w:bCs/>
        </w:rPr>
        <w:tab/>
        <w:t>Discussion</w:t>
      </w:r>
    </w:p>
    <w:p w:rsidR="006F55FC" w:rsidRPr="00C524DD" w:rsidRDefault="006F55FC" w:rsidP="006F55F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5.3 (LSs at SA5 level)</w:t>
      </w:r>
    </w:p>
    <w:p w:rsidR="006F55FC" w:rsidRDefault="006F55FC" w:rsidP="006F55F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rsidR="006F55FC" w:rsidRPr="00C524DD" w:rsidRDefault="006F55FC" w:rsidP="006F55FC">
      <w:pPr>
        <w:spacing w:after="120"/>
        <w:ind w:left="1985" w:hanging="1985"/>
        <w:rPr>
          <w:rFonts w:ascii="Arial" w:hAnsi="Arial" w:cs="Arial"/>
          <w:b/>
          <w:bCs/>
        </w:rPr>
      </w:pPr>
      <w:r>
        <w:rPr>
          <w:rFonts w:ascii="Arial" w:hAnsi="Arial" w:cs="Arial"/>
          <w:b/>
          <w:bCs/>
        </w:rPr>
        <w:t>Contact:</w:t>
      </w:r>
      <w:r>
        <w:rPr>
          <w:rFonts w:ascii="Arial" w:hAnsi="Arial" w:cs="Arial"/>
          <w:b/>
          <w:bCs/>
        </w:rPr>
        <w:tab/>
        <w:t>Erik Guttman &lt;erik.guttman@samsung.com&gt;</w:t>
      </w:r>
    </w:p>
    <w:p w:rsidR="006F55FC" w:rsidRPr="000D6532" w:rsidRDefault="006F55FC" w:rsidP="006F55FC">
      <w:pPr>
        <w:pBdr>
          <w:bottom w:val="single" w:sz="6" w:space="1" w:color="auto"/>
        </w:pBdr>
        <w:spacing w:after="0"/>
        <w:rPr>
          <w:rFonts w:eastAsia="MS Mincho"/>
          <w:sz w:val="24"/>
          <w:szCs w:val="24"/>
          <w:lang w:eastAsia="ja-JP"/>
        </w:rPr>
      </w:pPr>
    </w:p>
    <w:p w:rsidR="006F55FC" w:rsidRPr="000D6532" w:rsidRDefault="006F55FC" w:rsidP="006F55F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Application enablement is supported by diverse SA6 standards yet is not widely understood in 3GPP.</w:t>
      </w:r>
    </w:p>
    <w:p w:rsidR="006F55FC" w:rsidRPr="0009108F" w:rsidRDefault="006F55FC" w:rsidP="006F55FC">
      <w:pPr>
        <w:pStyle w:val="CRCoverPage"/>
        <w:rPr>
          <w:b/>
          <w:noProof/>
        </w:rPr>
      </w:pPr>
      <w:r w:rsidRPr="00C524DD">
        <w:rPr>
          <w:b/>
          <w:noProof/>
        </w:rPr>
        <w:t>1</w:t>
      </w:r>
      <w:r w:rsidRPr="0009108F">
        <w:rPr>
          <w:b/>
          <w:noProof/>
        </w:rPr>
        <w:t>. Introduction</w:t>
      </w:r>
    </w:p>
    <w:p w:rsidR="006F55FC" w:rsidRDefault="006F55FC" w:rsidP="006F55FC">
      <w:r>
        <w:t xml:space="preserve">SA6 has developed a number of application enablement specifications that extend beyond 'network exposure of functionality' of the 5GS. This is not widely understood in 3GPP, where the question can be asked "If there is already network exposure of X functionality, why does SA6 work on an enablement framework for X?" </w:t>
      </w:r>
    </w:p>
    <w:p w:rsidR="006F55FC" w:rsidRPr="00CF04C4" w:rsidRDefault="006F55FC" w:rsidP="006F55FC">
      <w:r>
        <w:t>This discussion paper addresses this question with examples, pointers to work done in SA6 and some general observations. Some of the material in this paper are excerpts from [1].</w:t>
      </w:r>
    </w:p>
    <w:p w:rsidR="006F55FC" w:rsidRDefault="006F55FC" w:rsidP="006F55FC">
      <w:pPr>
        <w:pStyle w:val="CRCoverPage"/>
        <w:rPr>
          <w:b/>
          <w:noProof/>
          <w:lang w:val="en-US"/>
        </w:rPr>
      </w:pPr>
      <w:r w:rsidRPr="008A5E86">
        <w:rPr>
          <w:b/>
          <w:noProof/>
          <w:lang w:val="en-US"/>
        </w:rPr>
        <w:t xml:space="preserve">2. </w:t>
      </w:r>
      <w:r>
        <w:rPr>
          <w:b/>
          <w:noProof/>
          <w:lang w:val="en-US"/>
        </w:rPr>
        <w:t>Discussion</w:t>
      </w:r>
    </w:p>
    <w:p w:rsidR="006F55FC" w:rsidRDefault="006F55FC" w:rsidP="006F55FC">
      <w:r>
        <w:t>SA6 has developed three s</w:t>
      </w:r>
      <w:r w:rsidRPr="00FD56BD">
        <w:t xml:space="preserve">ervice </w:t>
      </w:r>
      <w:r>
        <w:t>f</w:t>
      </w:r>
      <w:r w:rsidRPr="00FD56BD">
        <w:t>rameworks</w:t>
      </w:r>
      <w:r>
        <w:t xml:space="preserve"> thus far i.e. until Rel-17. Collectively we refer to these as the 'application service enablement layer' in this paper. </w:t>
      </w:r>
    </w:p>
    <w:p w:rsidR="006F55FC" w:rsidRDefault="006F55FC" w:rsidP="006F55FC">
      <w:r>
        <w:t>The Common API Framework (CAPIF) as a unified northbound interface framework in 3GPP TS 23.222, so that onboarding, authentication, authorization, discovery and other aspects can be unified across 3GPP, and invoked by 3</w:t>
      </w:r>
      <w:r w:rsidRPr="0044527D">
        <w:rPr>
          <w:vertAlign w:val="superscript"/>
        </w:rPr>
        <w:t>rd</w:t>
      </w:r>
      <w:r>
        <w:t xml:space="preserve"> parties in a uniform manner. </w:t>
      </w:r>
    </w:p>
    <w:p w:rsidR="006F55FC" w:rsidRPr="00FD56BD" w:rsidRDefault="006F55FC" w:rsidP="006F55FC">
      <w:r>
        <w:t xml:space="preserve">Edge Application Enablement (EDGEAPP), specified in 23.558, provides an edge enabling layer and application architecture to enable Edge Applications on the Edge Data Network, including exposure of northbound APIs towards Edge Applications (beyond NEF) such as UE ID API, application service continuity, etc., integration with the 3GPP network and </w:t>
      </w:r>
      <w:r w:rsidRPr="00FD56BD">
        <w:t xml:space="preserve">capabilities such as </w:t>
      </w:r>
      <w:r>
        <w:t xml:space="preserve">facilitated communication between edge clients and edge apps, </w:t>
      </w:r>
      <w:r w:rsidRPr="00FD56BD">
        <w:t>service provisioning, rich application discovery, and service continuity</w:t>
      </w:r>
      <w:r>
        <w:t>.</w:t>
      </w:r>
    </w:p>
    <w:p w:rsidR="006F55FC" w:rsidRDefault="006F55FC" w:rsidP="006F55FC">
      <w:r>
        <w:t xml:space="preserve">The </w:t>
      </w:r>
      <w:r w:rsidRPr="00FD56BD">
        <w:t>Service En</w:t>
      </w:r>
      <w:r>
        <w:t xml:space="preserve">abler Architecture Layer (SEAL), specified in TS 23.434, </w:t>
      </w:r>
      <w:r w:rsidRPr="00FD56BD">
        <w:t>specifies application plane and signalling plane entities for application-enabling services (e.g. group management, configuration management, location management, identity/key management, network resource management); that can be reus</w:t>
      </w:r>
      <w:r>
        <w:t xml:space="preserve">ed across vertical applications. </w:t>
      </w:r>
    </w:p>
    <w:p w:rsidR="006F55FC" w:rsidRDefault="006F55FC" w:rsidP="006F55FC">
      <w:r>
        <w:t xml:space="preserve">Each of these has three goals: </w:t>
      </w:r>
    </w:p>
    <w:p w:rsidR="006F55FC" w:rsidRDefault="006F55FC" w:rsidP="006F55FC">
      <w:pPr>
        <w:pStyle w:val="B1"/>
      </w:pPr>
      <w:r>
        <w:t xml:space="preserve">1) </w:t>
      </w:r>
      <w:r>
        <w:tab/>
        <w:t>each interface and enabler does not need to create essential aspects from scratch, which would lead to diverse and inconsistent interfaces from 3GPP. Unification of these interfaces allows maintenance and enhancement in one specification that benefits many vertical enablers and service enablers at the same time.</w:t>
      </w:r>
    </w:p>
    <w:p w:rsidR="006F55FC" w:rsidRDefault="006F55FC" w:rsidP="006F55FC">
      <w:pPr>
        <w:pStyle w:val="B1"/>
      </w:pPr>
      <w:r>
        <w:t xml:space="preserve">2) </w:t>
      </w:r>
      <w:r>
        <w:tab/>
        <w:t>common aspects can be offered to ease deployment and adoption, e.g. access control policies and discovery mechanisms. These capabilities at the level of the interface can be combined in new and unforeseen ways by future enablers or by customers, who may find that it is useful to combine parts of different enablers as a toolkit.</w:t>
      </w:r>
    </w:p>
    <w:p w:rsidR="006F55FC" w:rsidRDefault="006F55FC" w:rsidP="006F55FC">
      <w:pPr>
        <w:pStyle w:val="B1"/>
      </w:pPr>
      <w:r>
        <w:t xml:space="preserve">3) </w:t>
      </w:r>
      <w:r>
        <w:tab/>
        <w:t>the framework itself can offer a higher level access and abstraction to the service than the underlying 'network exposure' interfaces to the 5GC and its network functions e.g. simplied application developer friendly APIs, enabling deoplyoment across multiple PLMNs, translation of network to application level APIs, adaption of applications to underlying network conditions (e.g. change in QoS). This third aspect is the focus of the discussion in this document.</w:t>
      </w:r>
    </w:p>
    <w:p w:rsidR="006F55FC" w:rsidRPr="00FD56BD" w:rsidRDefault="006F55FC" w:rsidP="006F55FC">
      <w:r w:rsidRPr="00FD56BD">
        <w:t>Vertical Enablers</w:t>
      </w:r>
      <w:r>
        <w:t xml:space="preserve"> build upon these three enabler frameworks to provide specific </w:t>
      </w:r>
      <w:r>
        <w:rPr>
          <w:b/>
        </w:rPr>
        <w:t>value added services</w:t>
      </w:r>
      <w:r>
        <w:t xml:space="preserve"> for the customer, specifically addressing the needs of a particular sector. The examples below identify these added value services </w:t>
      </w:r>
      <w:r w:rsidRPr="00586526">
        <w:rPr>
          <w:highlight w:val="yellow"/>
        </w:rPr>
        <w:t>highlighted in yellow</w:t>
      </w:r>
      <w:r>
        <w:t>.</w:t>
      </w:r>
    </w:p>
    <w:p w:rsidR="006F55FC" w:rsidRPr="00FD56BD" w:rsidRDefault="006F55FC" w:rsidP="006F55FC">
      <w:r w:rsidRPr="00FD56BD">
        <w:lastRenderedPageBreak/>
        <w:t xml:space="preserve">V2XAPP - Application layer support for V2X services: </w:t>
      </w:r>
      <w:r w:rsidRPr="00586526">
        <w:t>enables the efficient use and deployment</w:t>
      </w:r>
      <w:r w:rsidRPr="00FD56BD">
        <w:t xml:space="preserve"> of V2X applications over 3GPP systems including Platooning, Advanced Remote Driving (ToD), and High Definition Maps. The focus of V2XAPP is to </w:t>
      </w:r>
      <w:r w:rsidRPr="00FD56BD">
        <w:rPr>
          <w:highlight w:val="yellow"/>
        </w:rPr>
        <w:t>provide key capabilities such as message distribution, service continuity, application resource management, and dynamic group management</w:t>
      </w:r>
      <w:r w:rsidRPr="00FD56BD">
        <w:t xml:space="preserve"> (Refer to 3GPP TS 23.286)</w:t>
      </w:r>
    </w:p>
    <w:p w:rsidR="006F55FC" w:rsidRPr="00FD56BD" w:rsidRDefault="006F55FC" w:rsidP="006F55FC">
      <w:r w:rsidRPr="00FD56BD">
        <w:t xml:space="preserve">UASAPP - Application layer support for Uncrewed Aerial System: </w:t>
      </w:r>
      <w:r w:rsidRPr="00586526">
        <w:t>specifies application layer capabilities towards UAS applications</w:t>
      </w:r>
      <w:r w:rsidRPr="00FD56BD">
        <w:t xml:space="preserve"> on the UAV/UAV Controller and the USS/UTM systems </w:t>
      </w:r>
      <w:r w:rsidRPr="00586526">
        <w:t xml:space="preserve">to leverage 3GPP transport capabilities, including </w:t>
      </w:r>
      <w:r w:rsidRPr="00FD56BD">
        <w:rPr>
          <w:highlight w:val="yellow"/>
        </w:rPr>
        <w:t>support for communication between UAVs within a geographical area, QoS provisioning for C2 communication, monitoring of location deviation, and reporting of UAV events</w:t>
      </w:r>
      <w:r w:rsidRPr="00FD56BD">
        <w:t xml:space="preserve"> (Refer to 3GPP TS 23.255)</w:t>
      </w:r>
    </w:p>
    <w:p w:rsidR="006F55FC" w:rsidRPr="00FD56BD" w:rsidRDefault="006F55FC" w:rsidP="006F55FC">
      <w:r w:rsidRPr="00FD56BD">
        <w:t xml:space="preserve">5GMARCH - Application architecture for MSGin5G Service: offers </w:t>
      </w:r>
      <w:r w:rsidRPr="00FD56BD">
        <w:rPr>
          <w:highlight w:val="yellow"/>
        </w:rPr>
        <w:t>5G messaging communication capabilities for massive IoT, including point-to-point, application-to-point, group and broadcast messaging, across multiple UE types</w:t>
      </w:r>
      <w:r w:rsidRPr="00FD56BD">
        <w:t xml:space="preserve"> (Refer to 3GPP TS 23.554).</w:t>
      </w:r>
    </w:p>
    <w:p w:rsidR="006F55FC" w:rsidRDefault="006F55FC" w:rsidP="006F55FC">
      <w:r w:rsidRPr="00FD56BD">
        <w:t xml:space="preserve">FFAPP - Application layer support for Factories of the Future: identifies key issues and solutions related to support for TSN and TSC communications including </w:t>
      </w:r>
      <w:r w:rsidRPr="00FD56BD">
        <w:rPr>
          <w:highlight w:val="yellow"/>
        </w:rPr>
        <w:t>network/device monitoring, QoS coordination, group communication, clock synchronization, and integration with existing operation technologies</w:t>
      </w:r>
      <w:r w:rsidRPr="00FD56BD">
        <w:t xml:space="preserve"> (Refer to 3GPP TR 23.745)</w:t>
      </w:r>
    </w:p>
    <w:p w:rsidR="006F55FC" w:rsidRPr="00FD56BD" w:rsidRDefault="006F55FC" w:rsidP="006F55FC">
      <w:r>
        <w:t xml:space="preserve">NSCALE - </w:t>
      </w:r>
      <w:r w:rsidRPr="00C602F8">
        <w:t xml:space="preserve"> </w:t>
      </w:r>
      <w:r>
        <w:t>Network Slice Capability Exposure for</w:t>
      </w:r>
      <w:r>
        <w:rPr>
          <w:lang w:eastAsia="zh-CN"/>
        </w:rPr>
        <w:t xml:space="preserve"> Application Layer Enablement: </w:t>
      </w:r>
      <w:r>
        <w:rPr>
          <w:rFonts w:hint="eastAsia"/>
          <w:lang w:val="en-US" w:eastAsia="zh-CN"/>
        </w:rPr>
        <w:t xml:space="preserve">The </w:t>
      </w:r>
      <w:r>
        <w:t xml:space="preserve">study identifies the </w:t>
      </w:r>
      <w:r>
        <w:rPr>
          <w:rFonts w:hint="eastAsia"/>
          <w:lang w:val="en-US" w:eastAsia="zh-CN"/>
        </w:rPr>
        <w:t>a</w:t>
      </w:r>
      <w:r>
        <w:t xml:space="preserve">rchitectural requirements </w:t>
      </w:r>
      <w:r>
        <w:rPr>
          <w:rFonts w:hint="eastAsia"/>
          <w:lang w:val="en-US" w:eastAsia="zh-CN"/>
        </w:rPr>
        <w:t>and application</w:t>
      </w:r>
      <w:r>
        <w:t xml:space="preserve"> </w:t>
      </w:r>
      <w:r>
        <w:rPr>
          <w:rFonts w:hint="eastAsia"/>
          <w:lang w:val="en-US" w:eastAsia="zh-CN"/>
        </w:rPr>
        <w:t>a</w:t>
      </w:r>
      <w:r>
        <w:t>rchitectur</w:t>
      </w:r>
      <w:r>
        <w:rPr>
          <w:rFonts w:hint="eastAsia"/>
          <w:lang w:val="en-US" w:eastAsia="zh-CN"/>
        </w:rPr>
        <w:t xml:space="preserve">e </w:t>
      </w:r>
      <w:r>
        <w:t>to support</w:t>
      </w:r>
      <w:r>
        <w:rPr>
          <w:rFonts w:hint="eastAsia"/>
          <w:lang w:val="en-US" w:eastAsia="zh-CN"/>
        </w:rPr>
        <w:t xml:space="preserve"> </w:t>
      </w:r>
      <w:r>
        <w:t>the network slice capability exposure to the 3</w:t>
      </w:r>
      <w:r w:rsidRPr="00B443C5">
        <w:rPr>
          <w:vertAlign w:val="superscript"/>
        </w:rPr>
        <w:t>rd</w:t>
      </w:r>
      <w:r>
        <w:t xml:space="preserve"> party. Key topics covered include: </w:t>
      </w:r>
      <w:r w:rsidRPr="00C5310A">
        <w:rPr>
          <w:rFonts w:hint="eastAsia"/>
          <w:lang w:val="en-US" w:eastAsia="zh-CN"/>
        </w:rPr>
        <w:t>a</w:t>
      </w:r>
      <w:r w:rsidRPr="00C5310A">
        <w:rPr>
          <w:rFonts w:hint="eastAsia"/>
        </w:rPr>
        <w:t>pplication layer exposed</w:t>
      </w:r>
      <w:r w:rsidRPr="00B443C5">
        <w:rPr>
          <w:rFonts w:hint="eastAsia"/>
          <w:highlight w:val="yellow"/>
        </w:rPr>
        <w:t xml:space="preserve"> network slice lifecycle management</w:t>
      </w:r>
      <w:r w:rsidRPr="00B443C5">
        <w:rPr>
          <w:rFonts w:hint="eastAsia"/>
          <w:highlight w:val="yellow"/>
          <w:lang w:val="en-US" w:eastAsia="zh-CN"/>
        </w:rPr>
        <w:t>, a</w:t>
      </w:r>
      <w:r w:rsidRPr="00B443C5">
        <w:rPr>
          <w:rFonts w:hint="eastAsia"/>
          <w:highlight w:val="yellow"/>
        </w:rPr>
        <w:t>pplication layer QoS verification capability enablement</w:t>
      </w:r>
      <w:r w:rsidRPr="00B443C5">
        <w:rPr>
          <w:rFonts w:hint="eastAsia"/>
          <w:highlight w:val="yellow"/>
          <w:lang w:val="en-US" w:eastAsia="zh-CN"/>
        </w:rPr>
        <w:t xml:space="preserve">, </w:t>
      </w:r>
      <w:r w:rsidRPr="00B443C5">
        <w:rPr>
          <w:rFonts w:hint="eastAsia"/>
          <w:highlight w:val="yellow"/>
        </w:rPr>
        <w:t xml:space="preserve"> </w:t>
      </w:r>
      <w:r w:rsidRPr="00B443C5">
        <w:rPr>
          <w:rFonts w:hint="eastAsia"/>
          <w:highlight w:val="yellow"/>
          <w:lang w:val="en-US" w:eastAsia="zh-CN"/>
        </w:rPr>
        <w:t>s</w:t>
      </w:r>
      <w:r w:rsidRPr="00B443C5">
        <w:rPr>
          <w:rFonts w:hint="eastAsia"/>
          <w:highlight w:val="yellow"/>
        </w:rPr>
        <w:t>upport for requirements translation</w:t>
      </w:r>
      <w:r w:rsidRPr="00B443C5">
        <w:rPr>
          <w:rFonts w:hint="eastAsia"/>
          <w:highlight w:val="yellow"/>
          <w:lang w:val="en-US" w:eastAsia="zh-CN"/>
        </w:rPr>
        <w:t>, s</w:t>
      </w:r>
      <w:r w:rsidRPr="00B443C5">
        <w:rPr>
          <w:rFonts w:hint="eastAsia"/>
          <w:highlight w:val="yellow"/>
        </w:rPr>
        <w:t>upport for managing trusted third-party owned application(s)</w:t>
      </w:r>
      <w:r w:rsidRPr="00B443C5">
        <w:rPr>
          <w:rFonts w:hint="eastAsia"/>
          <w:highlight w:val="yellow"/>
          <w:lang w:val="en-US" w:eastAsia="zh-CN"/>
        </w:rPr>
        <w:t>, n</w:t>
      </w:r>
      <w:r w:rsidRPr="00B443C5">
        <w:rPr>
          <w:rFonts w:hint="eastAsia"/>
          <w:highlight w:val="yellow"/>
        </w:rPr>
        <w:t>etwork slice capability exposure in the edge data network</w:t>
      </w:r>
      <w:r>
        <w:t xml:space="preserve"> etc. (Refer to 3GPP TR 23.700-99)</w:t>
      </w:r>
    </w:p>
    <w:p w:rsidR="006F55FC" w:rsidRDefault="006F55FC" w:rsidP="006F55FC">
      <w:pPr>
        <w:pStyle w:val="CRCoverPage"/>
        <w:rPr>
          <w:b/>
          <w:noProof/>
          <w:lang w:val="en-US"/>
        </w:rPr>
      </w:pPr>
      <w:r>
        <w:rPr>
          <w:b/>
          <w:noProof/>
          <w:lang w:val="en-US"/>
        </w:rPr>
        <w:t>3. Observations</w:t>
      </w:r>
    </w:p>
    <w:p w:rsidR="006F55FC" w:rsidRDefault="006F55FC" w:rsidP="006F55FC">
      <w:r>
        <w:t>In each of the examples above, additional functions are added to the information and operations exposed by the network. In all cases, the complexity of these operations, e.g. 'communciation in a specific geographic area,' is taken care of in the service enablement layer and not exposed to third parties.</w:t>
      </w:r>
    </w:p>
    <w:p w:rsidR="006F55FC" w:rsidRDefault="006F55FC" w:rsidP="006F55FC">
      <w:r>
        <w:t>While some third parties can provide extensive integration and software infrastructure, e.g. multi-national corporations, others are small and can neither afford the integration and custom software to develop such solutions, nor is the scale of small business adoption of 5GS capability such that it is possible for service providers to offer customization and customer engagement. It is intended that these layered and integrated capabilities in the service enablement layer increase the ease of adoption of 5G capabilities.</w:t>
      </w:r>
    </w:p>
    <w:p w:rsidR="006F55FC" w:rsidRPr="00586526" w:rsidRDefault="006F55FC" w:rsidP="006F55FC">
      <w:r>
        <w:t xml:space="preserve">While in some sense these application service enablement layer mechanisms described above are already </w:t>
      </w:r>
      <w:r>
        <w:rPr>
          <w:i/>
        </w:rPr>
        <w:t>possible</w:t>
      </w:r>
      <w:r>
        <w:t xml:space="preserve">, since a customer could of course build this functionality themselves </w:t>
      </w:r>
      <w:r w:rsidRPr="00B44F53">
        <w:rPr>
          <w:i/>
        </w:rPr>
        <w:t>from scratch</w:t>
      </w:r>
      <w:r>
        <w:t xml:space="preserve">, they have been developed in order to address a wider range of B2B scenarios in which the customer needs only high level integration. This is consistent with development of many widely adopted cloud based service platforms.  </w:t>
      </w:r>
    </w:p>
    <w:p w:rsidR="006F55FC" w:rsidRDefault="006F55FC" w:rsidP="006F55FC">
      <w:pPr>
        <w:pStyle w:val="CRCoverPage"/>
        <w:rPr>
          <w:b/>
          <w:noProof/>
          <w:lang w:val="en-US"/>
        </w:rPr>
      </w:pPr>
      <w:r>
        <w:rPr>
          <w:b/>
          <w:noProof/>
          <w:lang w:val="en-US"/>
        </w:rPr>
        <w:t>4. References</w:t>
      </w:r>
    </w:p>
    <w:p w:rsidR="001E41F3" w:rsidRPr="006F55FC" w:rsidRDefault="006F55FC" w:rsidP="006F55FC">
      <w:r w:rsidRPr="00FD56BD">
        <w:t>[1]</w:t>
      </w:r>
      <w:r w:rsidRPr="00FD56BD">
        <w:tab/>
      </w:r>
      <w:r w:rsidRPr="00FD56BD">
        <w:rPr>
          <w:b/>
        </w:rPr>
        <w:t>Application Enablement Standards in 3GPP</w:t>
      </w:r>
      <w:r w:rsidRPr="00FD56BD">
        <w:t>, Article in HIGHLIGHTS Issue 03, Oct 2021, https://www.3gpp.org/news-events/2252-sa6_app_enable &lt;accessed 28.4.22&gt;</w:t>
      </w:r>
      <w:bookmarkStart w:id="0" w:name="_GoBack"/>
      <w:bookmarkEnd w:id="0"/>
    </w:p>
    <w:sectPr w:rsidR="001E41F3" w:rsidRPr="006F55FC" w:rsidSect="000B7FE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708" w:rsidRDefault="00F51708">
      <w:r>
        <w:separator/>
      </w:r>
    </w:p>
  </w:endnote>
  <w:endnote w:type="continuationSeparator" w:id="0">
    <w:p w:rsidR="00F51708" w:rsidRDefault="00F5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708" w:rsidRDefault="00F51708">
      <w:r>
        <w:separator/>
      </w:r>
    </w:p>
  </w:footnote>
  <w:footnote w:type="continuationSeparator" w:id="0">
    <w:p w:rsidR="00F51708" w:rsidRDefault="00F5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CED"/>
    <w:rsid w:val="0001507B"/>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2D6"/>
    <w:rsid w:val="003E1A36"/>
    <w:rsid w:val="00410371"/>
    <w:rsid w:val="004242F1"/>
    <w:rsid w:val="004B75B7"/>
    <w:rsid w:val="004E27A6"/>
    <w:rsid w:val="0051580D"/>
    <w:rsid w:val="00547111"/>
    <w:rsid w:val="00592D74"/>
    <w:rsid w:val="005E2C44"/>
    <w:rsid w:val="00621188"/>
    <w:rsid w:val="006257ED"/>
    <w:rsid w:val="00653CED"/>
    <w:rsid w:val="00665C47"/>
    <w:rsid w:val="00676DEE"/>
    <w:rsid w:val="00695808"/>
    <w:rsid w:val="006B46FB"/>
    <w:rsid w:val="006D37F8"/>
    <w:rsid w:val="006E21FB"/>
    <w:rsid w:val="006F55FC"/>
    <w:rsid w:val="007408DC"/>
    <w:rsid w:val="00792342"/>
    <w:rsid w:val="007977A8"/>
    <w:rsid w:val="007A6565"/>
    <w:rsid w:val="007B512A"/>
    <w:rsid w:val="007C2097"/>
    <w:rsid w:val="007D6A07"/>
    <w:rsid w:val="007F7259"/>
    <w:rsid w:val="008040A8"/>
    <w:rsid w:val="008279FA"/>
    <w:rsid w:val="0083502C"/>
    <w:rsid w:val="008626E7"/>
    <w:rsid w:val="00870EE7"/>
    <w:rsid w:val="008863B9"/>
    <w:rsid w:val="008A45A6"/>
    <w:rsid w:val="008C6135"/>
    <w:rsid w:val="008D3BFA"/>
    <w:rsid w:val="008F3789"/>
    <w:rsid w:val="008F686C"/>
    <w:rsid w:val="009148DE"/>
    <w:rsid w:val="00941E30"/>
    <w:rsid w:val="009577A7"/>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87FC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5E7"/>
    <w:rsid w:val="00D03F9A"/>
    <w:rsid w:val="00D06D51"/>
    <w:rsid w:val="00D24991"/>
    <w:rsid w:val="00D50255"/>
    <w:rsid w:val="00D600BC"/>
    <w:rsid w:val="00D66520"/>
    <w:rsid w:val="00DE34CF"/>
    <w:rsid w:val="00E13F3D"/>
    <w:rsid w:val="00E34898"/>
    <w:rsid w:val="00EB09B7"/>
    <w:rsid w:val="00EE7D7C"/>
    <w:rsid w:val="00F22BF5"/>
    <w:rsid w:val="00F25D98"/>
    <w:rsid w:val="00F300FB"/>
    <w:rsid w:val="00F37385"/>
    <w:rsid w:val="00F5170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37F6F8-D296-4906-A885-42621346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5F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1ABCA-2575-4F21-8F7D-12BA32F5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Samsung=1</dc:creator>
  <cp:keywords/>
  <dc:description/>
  <cp:lastModifiedBy>Samsung=1</cp:lastModifiedBy>
  <cp:revision>2</cp:revision>
  <cp:lastPrinted>1899-12-31T23:00:00Z</cp:lastPrinted>
  <dcterms:created xsi:type="dcterms:W3CDTF">2022-04-29T10:31:00Z</dcterms:created>
  <dcterms:modified xsi:type="dcterms:W3CDTF">2022-04-29T10:31:00Z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